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C6E" w:rsidRDefault="008C0E0C">
      <w:r>
        <w:rPr>
          <w:b/>
        </w:rPr>
        <w:t xml:space="preserve">Starttermen Praktijkonderwijs </w:t>
      </w:r>
    </w:p>
    <w:p w:rsidR="008C0E0C" w:rsidRDefault="008C0E0C">
      <w:r>
        <w:rPr>
          <w:i/>
        </w:rPr>
        <w:t>Algemene informatie</w:t>
      </w:r>
    </w:p>
    <w:p w:rsidR="008C0E0C" w:rsidRDefault="008C0E0C">
      <w:r>
        <w:t xml:space="preserve">Praktijkonderwijs (pro) is bedoeld voor leerlingen met lage cognitieve capaciteiten, die baat hebben bij onderwijs dat hen rechtstreeks toe leidt naar laaggeschoold werk op de arbeidsmarkt of een beschermde werkplek. Praktijkonderwijs beslaat maximaal zes leerjaren. Het onderwijsaanbod  is gericht op werken, wonen en vrije tijd. Dit wordt aangeboden door middel van theorie- en praktijkvakken, met als uiteindelijk doel de leerlingen plaatsen op de arbeidsmarkt. Het accent zal naarmate de leerlingen ouder worde steeds meer op arbeid liggen. Gedurende de gehele onderwijsperiode is er aandacht voor persoonlijkheidsvorming en het aanleren van sociale vaardigheden. Meer specifieke informatie is te vinden op de website van het </w:t>
      </w:r>
      <w:proofErr w:type="spellStart"/>
      <w:r>
        <w:t>Symbion</w:t>
      </w:r>
      <w:proofErr w:type="spellEnd"/>
      <w:r>
        <w:t xml:space="preserve">: </w:t>
      </w:r>
      <w:hyperlink r:id="rId6" w:history="1">
        <w:r w:rsidRPr="00DE4D67">
          <w:rPr>
            <w:rStyle w:val="Hyperlink"/>
          </w:rPr>
          <w:t>www.symbion-vo.nl</w:t>
        </w:r>
      </w:hyperlink>
      <w:r>
        <w:t xml:space="preserve"> .</w:t>
      </w:r>
    </w:p>
    <w:p w:rsidR="008C0E0C" w:rsidRDefault="008C0E0C">
      <w:r>
        <w:rPr>
          <w:i/>
        </w:rPr>
        <w:t>Toelatingscriteria pro</w:t>
      </w:r>
    </w:p>
    <w:p w:rsidR="008C0E0C" w:rsidRDefault="008C0E0C">
      <w:r>
        <w:t>Er volgt een pro beschikking indien de leerling:</w:t>
      </w:r>
    </w:p>
    <w:p w:rsidR="008C0E0C" w:rsidRPr="008C0E0C" w:rsidRDefault="008C0E0C" w:rsidP="008C0E0C">
      <w:pPr>
        <w:pStyle w:val="Lijstalinea"/>
        <w:numPr>
          <w:ilvl w:val="0"/>
          <w:numId w:val="1"/>
        </w:numPr>
        <w:rPr>
          <w:b/>
        </w:rPr>
      </w:pPr>
      <w:r>
        <w:rPr>
          <w:b/>
        </w:rPr>
        <w:t xml:space="preserve">een intelligentiequotiënt </w:t>
      </w:r>
      <w:r>
        <w:t xml:space="preserve">heeft binnen de </w:t>
      </w:r>
      <w:r>
        <w:rPr>
          <w:u w:val="single"/>
        </w:rPr>
        <w:t>bandbreedte van 55 tot en met 80</w:t>
      </w:r>
    </w:p>
    <w:p w:rsidR="008C0E0C" w:rsidRDefault="008C0E0C" w:rsidP="008C0E0C">
      <w:pPr>
        <w:pStyle w:val="Lijstalinea"/>
        <w:rPr>
          <w:b/>
        </w:rPr>
      </w:pPr>
    </w:p>
    <w:p w:rsidR="008C0E0C" w:rsidRDefault="008C0E0C" w:rsidP="008C0E0C">
      <w:pPr>
        <w:pStyle w:val="Lijstalinea"/>
        <w:ind w:left="3540"/>
      </w:pPr>
      <w:r>
        <w:t>en</w:t>
      </w:r>
    </w:p>
    <w:p w:rsidR="00707C8F" w:rsidRDefault="00707C8F" w:rsidP="008C0E0C">
      <w:pPr>
        <w:pStyle w:val="Lijstalinea"/>
        <w:ind w:left="3540"/>
      </w:pPr>
    </w:p>
    <w:p w:rsidR="008C0E0C" w:rsidRPr="008C0E0C" w:rsidRDefault="008C0E0C" w:rsidP="008C0E0C">
      <w:pPr>
        <w:pStyle w:val="Lijstalinea"/>
        <w:numPr>
          <w:ilvl w:val="0"/>
          <w:numId w:val="1"/>
        </w:numPr>
        <w:rPr>
          <w:b/>
        </w:rPr>
      </w:pPr>
      <w:r>
        <w:rPr>
          <w:b/>
        </w:rPr>
        <w:t xml:space="preserve">een leerachterstand </w:t>
      </w:r>
      <w:r>
        <w:t>heeft op tenminste twee van de vier domeinen:</w:t>
      </w:r>
    </w:p>
    <w:p w:rsidR="008C0E0C" w:rsidRDefault="008C0E0C" w:rsidP="008C0E0C">
      <w:pPr>
        <w:pStyle w:val="Lijstalinea"/>
        <w:numPr>
          <w:ilvl w:val="0"/>
          <w:numId w:val="2"/>
        </w:numPr>
      </w:pPr>
      <w:r>
        <w:t>inzichtelijk rekenen</w:t>
      </w:r>
    </w:p>
    <w:p w:rsidR="008C0E0C" w:rsidRDefault="008C0E0C" w:rsidP="008C0E0C">
      <w:pPr>
        <w:pStyle w:val="Lijstalinea"/>
        <w:numPr>
          <w:ilvl w:val="0"/>
          <w:numId w:val="2"/>
        </w:numPr>
      </w:pPr>
      <w:r>
        <w:t>begrijpend lezen</w:t>
      </w:r>
    </w:p>
    <w:p w:rsidR="008C0E0C" w:rsidRDefault="008C0E0C" w:rsidP="008C0E0C">
      <w:pPr>
        <w:pStyle w:val="Lijstalinea"/>
        <w:numPr>
          <w:ilvl w:val="0"/>
          <w:numId w:val="2"/>
        </w:numPr>
      </w:pPr>
      <w:r>
        <w:t>technisch lezen</w:t>
      </w:r>
    </w:p>
    <w:p w:rsidR="008C0E0C" w:rsidRDefault="008C0E0C" w:rsidP="008C0E0C">
      <w:pPr>
        <w:pStyle w:val="Lijstalinea"/>
        <w:numPr>
          <w:ilvl w:val="0"/>
          <w:numId w:val="2"/>
        </w:numPr>
      </w:pPr>
      <w:r>
        <w:t>spelling</w:t>
      </w:r>
    </w:p>
    <w:p w:rsidR="008C0E0C" w:rsidRDefault="008C0E0C" w:rsidP="008C0E0C">
      <w:pPr>
        <w:ind w:left="720"/>
      </w:pPr>
      <w:r>
        <w:t xml:space="preserve">waarvan minimaal één van de twee domeinen inzichtelijk rekenen of begrijpend lezen betreft. Het gaat om leerlingen met leerachterstanden van </w:t>
      </w:r>
      <w:r>
        <w:rPr>
          <w:u w:val="single"/>
        </w:rPr>
        <w:t>meer dan 3 jaar</w:t>
      </w:r>
      <w:r>
        <w:t xml:space="preserve"> gemeten in </w:t>
      </w:r>
      <w:proofErr w:type="spellStart"/>
      <w:r>
        <w:t>dle’s</w:t>
      </w:r>
      <w:proofErr w:type="spellEnd"/>
      <w:r>
        <w:t>.</w:t>
      </w:r>
    </w:p>
    <w:p w:rsidR="008C0E0C" w:rsidRDefault="008C0E0C" w:rsidP="008C0E0C">
      <w:r>
        <w:t>Onderstaande tabel brengt de criteria voor praktijkonderwijs in beeld.</w:t>
      </w:r>
    </w:p>
    <w:tbl>
      <w:tblPr>
        <w:tblStyle w:val="Tabelraster"/>
        <w:tblW w:w="0" w:type="auto"/>
        <w:tblLook w:val="04A0" w:firstRow="1" w:lastRow="0" w:firstColumn="1" w:lastColumn="0" w:noHBand="0" w:noVBand="1"/>
      </w:tblPr>
      <w:tblGrid>
        <w:gridCol w:w="1809"/>
        <w:gridCol w:w="2977"/>
        <w:gridCol w:w="2552"/>
        <w:gridCol w:w="1828"/>
        <w:gridCol w:w="38"/>
      </w:tblGrid>
      <w:tr w:rsidR="00707C8F" w:rsidTr="00707C8F">
        <w:trPr>
          <w:gridAfter w:val="1"/>
          <w:wAfter w:w="38" w:type="dxa"/>
        </w:trPr>
        <w:tc>
          <w:tcPr>
            <w:tcW w:w="9166" w:type="dxa"/>
            <w:gridSpan w:val="4"/>
          </w:tcPr>
          <w:p w:rsidR="00707C8F" w:rsidRDefault="00707C8F" w:rsidP="008C0E0C">
            <w:pPr>
              <w:rPr>
                <w:b/>
              </w:rPr>
            </w:pPr>
          </w:p>
          <w:p w:rsidR="00707C8F" w:rsidRDefault="00707C8F" w:rsidP="008C0E0C">
            <w:pPr>
              <w:rPr>
                <w:b/>
              </w:rPr>
            </w:pPr>
            <w:r>
              <w:rPr>
                <w:b/>
              </w:rPr>
              <w:t>Criteria voor praktijkonderwijs</w:t>
            </w:r>
          </w:p>
          <w:p w:rsidR="00707C8F" w:rsidRPr="00707C8F" w:rsidRDefault="00707C8F" w:rsidP="008C0E0C">
            <w:pPr>
              <w:rPr>
                <w:b/>
              </w:rPr>
            </w:pPr>
          </w:p>
        </w:tc>
      </w:tr>
      <w:tr w:rsidR="00707C8F" w:rsidTr="00707C8F">
        <w:tc>
          <w:tcPr>
            <w:tcW w:w="1809" w:type="dxa"/>
          </w:tcPr>
          <w:p w:rsidR="00707C8F" w:rsidRDefault="00707C8F" w:rsidP="008C0E0C">
            <w:pPr>
              <w:rPr>
                <w:b/>
              </w:rPr>
            </w:pPr>
          </w:p>
          <w:p w:rsidR="00707C8F" w:rsidRPr="00707C8F" w:rsidRDefault="00707C8F" w:rsidP="008C0E0C">
            <w:pPr>
              <w:rPr>
                <w:b/>
              </w:rPr>
            </w:pPr>
            <w:r>
              <w:rPr>
                <w:b/>
              </w:rPr>
              <w:t>IQ</w:t>
            </w:r>
          </w:p>
        </w:tc>
        <w:tc>
          <w:tcPr>
            <w:tcW w:w="2977" w:type="dxa"/>
          </w:tcPr>
          <w:p w:rsidR="00707C8F" w:rsidRDefault="00707C8F" w:rsidP="008C0E0C">
            <w:pPr>
              <w:rPr>
                <w:b/>
              </w:rPr>
            </w:pPr>
          </w:p>
          <w:p w:rsidR="00707C8F" w:rsidRPr="00707C8F" w:rsidRDefault="00707C8F" w:rsidP="008C0E0C">
            <w:pPr>
              <w:rPr>
                <w:b/>
              </w:rPr>
            </w:pPr>
            <w:r>
              <w:rPr>
                <w:b/>
              </w:rPr>
              <w:t>Relatieve leerachterstanden</w:t>
            </w:r>
          </w:p>
        </w:tc>
        <w:tc>
          <w:tcPr>
            <w:tcW w:w="2552" w:type="dxa"/>
          </w:tcPr>
          <w:p w:rsidR="00707C8F" w:rsidRDefault="00707C8F" w:rsidP="008C0E0C">
            <w:pPr>
              <w:rPr>
                <w:b/>
              </w:rPr>
            </w:pPr>
          </w:p>
          <w:p w:rsidR="00707C8F" w:rsidRDefault="00707C8F" w:rsidP="008C0E0C">
            <w:pPr>
              <w:rPr>
                <w:b/>
              </w:rPr>
            </w:pPr>
            <w:r>
              <w:rPr>
                <w:b/>
              </w:rPr>
              <w:t>Sociaal – emotionele</w:t>
            </w:r>
          </w:p>
          <w:p w:rsidR="00707C8F" w:rsidRDefault="00707C8F" w:rsidP="008C0E0C">
            <w:pPr>
              <w:rPr>
                <w:b/>
              </w:rPr>
            </w:pPr>
            <w:r>
              <w:rPr>
                <w:b/>
              </w:rPr>
              <w:t>Problematiek</w:t>
            </w:r>
          </w:p>
          <w:p w:rsidR="00707C8F" w:rsidRDefault="00707C8F" w:rsidP="008C0E0C">
            <w:pPr>
              <w:rPr>
                <w:b/>
              </w:rPr>
            </w:pPr>
          </w:p>
          <w:p w:rsidR="00707C8F" w:rsidRPr="00707C8F" w:rsidRDefault="00707C8F" w:rsidP="008C0E0C">
            <w:pPr>
              <w:rPr>
                <w:b/>
              </w:rPr>
            </w:pPr>
          </w:p>
        </w:tc>
        <w:tc>
          <w:tcPr>
            <w:tcW w:w="1866" w:type="dxa"/>
            <w:gridSpan w:val="2"/>
          </w:tcPr>
          <w:p w:rsidR="00707C8F" w:rsidRDefault="00707C8F" w:rsidP="008C0E0C">
            <w:pPr>
              <w:rPr>
                <w:b/>
              </w:rPr>
            </w:pPr>
          </w:p>
          <w:p w:rsidR="00707C8F" w:rsidRPr="00707C8F" w:rsidRDefault="00707C8F" w:rsidP="008C0E0C">
            <w:pPr>
              <w:rPr>
                <w:b/>
              </w:rPr>
            </w:pPr>
            <w:r>
              <w:rPr>
                <w:b/>
              </w:rPr>
              <w:t>Uitspraak RVC</w:t>
            </w:r>
          </w:p>
        </w:tc>
      </w:tr>
      <w:tr w:rsidR="00707C8F" w:rsidTr="00707C8F">
        <w:tc>
          <w:tcPr>
            <w:tcW w:w="1809" w:type="dxa"/>
          </w:tcPr>
          <w:p w:rsidR="00707C8F" w:rsidRDefault="00707C8F" w:rsidP="008C0E0C"/>
          <w:p w:rsidR="00707C8F" w:rsidRDefault="00707C8F" w:rsidP="00707C8F">
            <w:r>
              <w:t>55 tot en met 80</w:t>
            </w:r>
          </w:p>
        </w:tc>
        <w:tc>
          <w:tcPr>
            <w:tcW w:w="2977" w:type="dxa"/>
          </w:tcPr>
          <w:p w:rsidR="00707C8F" w:rsidRDefault="00707C8F" w:rsidP="008C0E0C"/>
          <w:p w:rsidR="00707C8F" w:rsidRDefault="00707C8F" w:rsidP="008C0E0C">
            <w:r>
              <w:t xml:space="preserve">leerachterstanden op twee van de vier domeinen, meer dan 3 jaar gemeten in </w:t>
            </w:r>
            <w:proofErr w:type="spellStart"/>
            <w:r>
              <w:t>dle’s</w:t>
            </w:r>
            <w:proofErr w:type="spellEnd"/>
            <w:r>
              <w:t xml:space="preserve"> (niet zijnde de combi technisch lezen en spellen)</w:t>
            </w:r>
          </w:p>
          <w:p w:rsidR="00707C8F" w:rsidRDefault="00707C8F" w:rsidP="008C0E0C"/>
        </w:tc>
        <w:tc>
          <w:tcPr>
            <w:tcW w:w="2552" w:type="dxa"/>
          </w:tcPr>
          <w:p w:rsidR="00707C8F" w:rsidRDefault="00707C8F" w:rsidP="008C0E0C"/>
          <w:p w:rsidR="00707C8F" w:rsidRDefault="00707C8F" w:rsidP="008C0E0C">
            <w:r>
              <w:t>niet noodzakelijk</w:t>
            </w:r>
          </w:p>
        </w:tc>
        <w:tc>
          <w:tcPr>
            <w:tcW w:w="1866" w:type="dxa"/>
            <w:gridSpan w:val="2"/>
          </w:tcPr>
          <w:p w:rsidR="00707C8F" w:rsidRDefault="00707C8F" w:rsidP="008C0E0C"/>
          <w:p w:rsidR="00707C8F" w:rsidRDefault="00707C8F" w:rsidP="008C0E0C">
            <w:r>
              <w:t>positieve beschikking pro</w:t>
            </w:r>
          </w:p>
        </w:tc>
      </w:tr>
    </w:tbl>
    <w:p w:rsidR="008C0E0C" w:rsidRPr="008C0E0C" w:rsidRDefault="00707C8F" w:rsidP="008C0E0C">
      <w:r>
        <w:t xml:space="preserve"> Bron: Informatiegids 2014 – 2015 – SWV De Liemers VO</w:t>
      </w:r>
      <w:bookmarkStart w:id="0" w:name="_GoBack"/>
      <w:bookmarkEnd w:id="0"/>
    </w:p>
    <w:sectPr w:rsidR="008C0E0C" w:rsidRPr="008C0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54222"/>
    <w:multiLevelType w:val="hybridMultilevel"/>
    <w:tmpl w:val="BFC0B6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E833DF8"/>
    <w:multiLevelType w:val="hybridMultilevel"/>
    <w:tmpl w:val="9D22A35E"/>
    <w:lvl w:ilvl="0" w:tplc="53B0F5CE">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0C"/>
    <w:rsid w:val="00707C8F"/>
    <w:rsid w:val="008C0E0C"/>
    <w:rsid w:val="00A42C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0E0C"/>
    <w:rPr>
      <w:color w:val="0000FF" w:themeColor="hyperlink"/>
      <w:u w:val="single"/>
    </w:rPr>
  </w:style>
  <w:style w:type="paragraph" w:styleId="Lijstalinea">
    <w:name w:val="List Paragraph"/>
    <w:basedOn w:val="Standaard"/>
    <w:uiPriority w:val="34"/>
    <w:qFormat/>
    <w:rsid w:val="008C0E0C"/>
    <w:pPr>
      <w:ind w:left="720"/>
      <w:contextualSpacing/>
    </w:pPr>
  </w:style>
  <w:style w:type="table" w:styleId="Tabelraster">
    <w:name w:val="Table Grid"/>
    <w:basedOn w:val="Standaardtabel"/>
    <w:uiPriority w:val="59"/>
    <w:rsid w:val="0070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0E0C"/>
    <w:rPr>
      <w:color w:val="0000FF" w:themeColor="hyperlink"/>
      <w:u w:val="single"/>
    </w:rPr>
  </w:style>
  <w:style w:type="paragraph" w:styleId="Lijstalinea">
    <w:name w:val="List Paragraph"/>
    <w:basedOn w:val="Standaard"/>
    <w:uiPriority w:val="34"/>
    <w:qFormat/>
    <w:rsid w:val="008C0E0C"/>
    <w:pPr>
      <w:ind w:left="720"/>
      <w:contextualSpacing/>
    </w:pPr>
  </w:style>
  <w:style w:type="table" w:styleId="Tabelraster">
    <w:name w:val="Table Grid"/>
    <w:basedOn w:val="Standaardtabel"/>
    <w:uiPriority w:val="59"/>
    <w:rsid w:val="0070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mbion-vo.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77D5671B</Template>
  <TotalTime>18</TotalTime>
  <Pages>1</Pages>
  <Words>269</Words>
  <Characters>1482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De Onderwijsspecialisten</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Slikkerveer, Annuska</dc:creator>
  <cp:lastModifiedBy>Slikkerveer, Annuska</cp:lastModifiedBy>
  <cp:revision>1</cp:revision>
  <dcterms:created xsi:type="dcterms:W3CDTF">2014-11-12T08:51:00Z</dcterms:created>
  <dcterms:modified xsi:type="dcterms:W3CDTF">2014-11-12T09:09:00Z</dcterms:modified>
</cp:coreProperties>
</file>